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081" w:rsidRDefault="00E44081" w:rsidP="00E44081">
      <w:pPr>
        <w:pStyle w:val="NormalnyWeb"/>
        <w:jc w:val="both"/>
      </w:pPr>
      <w:r>
        <w:t>Co kwartał będziemy publikować aktualne raporty wydajnościowe dotyczące środowisk dla TPP oraz bankowości elektronicznej, z której korzystają nasi klienci.</w:t>
      </w:r>
    </w:p>
    <w:p w:rsidR="000E61A3" w:rsidRDefault="00E44081">
      <w:bookmarkStart w:id="0" w:name="_GoBack"/>
      <w:bookmarkEnd w:id="0"/>
    </w:p>
    <w:sectPr w:rsidR="000E6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81"/>
    <w:rsid w:val="0072164D"/>
    <w:rsid w:val="00E44081"/>
    <w:rsid w:val="00E7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44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44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2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SOBCZYK</dc:creator>
  <cp:lastModifiedBy>SYLWIA SOBCZYK</cp:lastModifiedBy>
  <cp:revision>1</cp:revision>
  <dcterms:created xsi:type="dcterms:W3CDTF">2019-03-14T10:47:00Z</dcterms:created>
  <dcterms:modified xsi:type="dcterms:W3CDTF">2019-03-14T10:47:00Z</dcterms:modified>
</cp:coreProperties>
</file>